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Segoe UI" w:hAnsi="Segoe UI" w:cs="Segoe UI"/>
          <w:b/>
          <w:b/>
          <w:sz w:val="32"/>
          <w:szCs w:val="32"/>
        </w:rPr>
      </w:pPr>
      <w:r>
        <w:rPr>
          <w:rFonts w:cs="Segoe UI" w:ascii="Segoe UI" w:hAnsi="Segoe UI"/>
          <w:b/>
          <w:sz w:val="32"/>
          <w:szCs w:val="32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-64135</wp:posOffset>
            </wp:positionH>
            <wp:positionV relativeFrom="paragraph">
              <wp:posOffset>-63500</wp:posOffset>
            </wp:positionV>
            <wp:extent cx="2120265" cy="96266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1" t="-46" r="-21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Segoe UI" w:hAnsi="Segoe UI" w:cs="Segoe UI"/>
          <w:b/>
          <w:b/>
          <w:sz w:val="32"/>
          <w:szCs w:val="32"/>
        </w:rPr>
      </w:pPr>
      <w:r>
        <w:rPr>
          <w:rFonts w:cs="Segoe UI" w:ascii="Segoe UI" w:hAnsi="Segoe UI"/>
          <w:b/>
          <w:sz w:val="32"/>
          <w:szCs w:val="32"/>
        </w:rPr>
      </w:r>
    </w:p>
    <w:p>
      <w:pPr>
        <w:pStyle w:val="Normal"/>
        <w:rPr>
          <w:rFonts w:ascii="Segoe UI" w:hAnsi="Segoe UI" w:cs="Segoe UI"/>
          <w:b/>
          <w:b/>
          <w:sz w:val="32"/>
          <w:szCs w:val="32"/>
        </w:rPr>
      </w:pPr>
      <w:r>
        <w:rPr>
          <w:rFonts w:cs="Segoe UI" w:ascii="Segoe UI" w:hAnsi="Segoe UI"/>
          <w:b/>
          <w:sz w:val="32"/>
          <w:szCs w:val="32"/>
        </w:rPr>
      </w:r>
    </w:p>
    <w:p>
      <w:pPr>
        <w:pStyle w:val="Normal"/>
        <w:jc w:val="right"/>
        <w:rPr>
          <w:rFonts w:ascii="Segoe UI" w:hAnsi="Segoe UI" w:cs="Segoe UI"/>
          <w:b/>
          <w:b/>
          <w:bCs/>
          <w:sz w:val="32"/>
          <w:szCs w:val="32"/>
        </w:rPr>
      </w:pPr>
      <w:r>
        <w:rPr>
          <w:rFonts w:cs="Segoe UI" w:ascii="Segoe UI" w:hAnsi="Segoe UI"/>
          <w:b/>
          <w:bCs/>
          <w:sz w:val="32"/>
          <w:szCs w:val="32"/>
        </w:rPr>
        <w:t>ПРЕСС-РЕЛИЗ</w:t>
      </w:r>
    </w:p>
    <w:p>
      <w:pPr>
        <w:pStyle w:val="Normal"/>
        <w:jc w:val="right"/>
        <w:rPr>
          <w:rFonts w:ascii="Segoe UI" w:hAnsi="Segoe UI" w:cs="Segoe UI"/>
          <w:b/>
          <w:b/>
          <w:bCs/>
          <w:sz w:val="32"/>
          <w:szCs w:val="32"/>
        </w:rPr>
      </w:pPr>
      <w:r>
        <w:rPr>
          <w:b/>
          <w:sz w:val="28"/>
          <w:szCs w:val="20"/>
        </w:rPr>
      </w:r>
    </w:p>
    <w:p>
      <w:pPr>
        <w:pStyle w:val="Normal"/>
        <w:jc w:val="center"/>
        <w:rPr>
          <w:b/>
          <w:b/>
          <w:sz w:val="28"/>
          <w:szCs w:val="20"/>
        </w:rPr>
      </w:pPr>
      <w:r>
        <w:rPr>
          <w:b/>
          <w:sz w:val="28"/>
          <w:szCs w:val="20"/>
        </w:rPr>
        <w:t>Выездной прием документов остается одной из востребованных услуг  Кадастровой палаты</w:t>
      </w:r>
    </w:p>
    <w:p>
      <w:pPr>
        <w:pStyle w:val="Normal"/>
        <w:ind w:firstLine="709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ind w:firstLine="709"/>
        <w:jc w:val="both"/>
        <w:rPr>
          <w:shd w:fill="FFFFFF" w:val="clear"/>
        </w:rPr>
      </w:pPr>
      <w:r>
        <w:rPr>
          <w:b/>
          <w:bCs/>
          <w:sz w:val="26"/>
          <w:szCs w:val="26"/>
          <w:shd w:fill="FFFFFF" w:val="clear"/>
        </w:rPr>
        <w:t xml:space="preserve">За 9 месяцев 2022 года специалисты Кадастровой палаты по Алтайскому краю приняли более </w:t>
      </w:r>
      <w:r>
        <w:rPr>
          <w:b/>
          <w:bCs/>
          <w:color w:val="000000"/>
          <w:sz w:val="26"/>
          <w:szCs w:val="26"/>
          <w:shd w:fill="FFFFFF" w:val="clear"/>
        </w:rPr>
        <w:t>25</w:t>
      </w:r>
      <w:r>
        <w:rPr>
          <w:b/>
          <w:bCs/>
          <w:sz w:val="26"/>
          <w:szCs w:val="26"/>
          <w:shd w:fill="FFFFFF" w:val="clear"/>
        </w:rPr>
        <w:t xml:space="preserve"> тысяч документов для проведения кадастрового учета и регистрации прав и 3 тысяч запросов на предоставление сведений Единого государственного реестра недвижимости (ЕГРН). Количество принятых пакетов документов незначительно превысило </w:t>
      </w:r>
      <w:r>
        <w:rPr>
          <w:b/>
          <w:bCs/>
          <w:color w:val="000000"/>
          <w:sz w:val="26"/>
          <w:szCs w:val="26"/>
          <w:shd w:fill="FFFFFF" w:val="clear"/>
        </w:rPr>
        <w:t>уровень</w:t>
      </w:r>
      <w:r>
        <w:rPr>
          <w:b/>
          <w:bCs/>
          <w:sz w:val="26"/>
          <w:szCs w:val="26"/>
          <w:shd w:fill="FFFFFF" w:val="clear"/>
        </w:rPr>
        <w:t xml:space="preserve"> прошлого года.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Современный ритм жизни и наличие большого числа жизненных обстоятельств создают условия, ведущие к значительным временным затратам, заставляют человека искать более простые пути для экономии своего времени. </w:t>
      </w:r>
    </w:p>
    <w:p>
      <w:pPr>
        <w:pStyle w:val="Style17"/>
        <w:spacing w:lineRule="auto" w:line="240" w:before="0"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Эти тенденции затронули и сферу государственных услуг. Так, услуги в сфере кадастрового учета, регистрации прав и получения сведений из госреестра недвижимости можно получить дистанционно — в электронном виде, или воспользоваться выездным приемом документов.</w:t>
      </w:r>
    </w:p>
    <w:p>
      <w:pPr>
        <w:pStyle w:val="Style17"/>
        <w:spacing w:lineRule="auto" w:line="240" w:before="0" w:after="0"/>
        <w:ind w:firstLine="709"/>
        <w:jc w:val="both"/>
        <w:rPr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«В последние несколько лет среди жителей Алтайского края большим спросом пользуется услуга выездного обслуживания. Если в 2019 году Кадастровая палата приняла 19 тысяч пакетов документов, в 2020 году - 31 тыс., в 2021 году их количество уже превысило 40 тыс. В текущем году спрос на услугу не снижается, за девять месяцев специалисты выездного обслуживания уже приняли более 28 тысяч пакетов документов. Повышенный интерес, прежде всего, связан с возможностью получить услуги Росреестра в самое ближайшее время. Кроме того, сотрудники Кадастровой палаты, обладая большим опытом работы в учетно-регистрационной сфере и высоким профессиональным уровнем, предоставляют консультации по </w:t>
      </w:r>
      <w:bookmarkStart w:id="0" w:name="_GoBack"/>
      <w:bookmarkEnd w:id="0"/>
      <w:r>
        <w:rPr>
          <w:i/>
          <w:iCs/>
          <w:color w:val="000000"/>
          <w:sz w:val="26"/>
          <w:szCs w:val="26"/>
        </w:rPr>
        <w:t>пакетам документов и подготовке проектов договоров в сфере оборота недвижимости»</w:t>
      </w:r>
      <w:r>
        <w:rPr>
          <w:color w:val="000000"/>
          <w:sz w:val="26"/>
          <w:szCs w:val="26"/>
        </w:rPr>
        <w:t xml:space="preserve">, - отметил </w:t>
      </w:r>
      <w:r>
        <w:rPr>
          <w:b/>
          <w:bCs/>
          <w:color w:val="000000"/>
          <w:sz w:val="26"/>
          <w:szCs w:val="26"/>
        </w:rPr>
        <w:t>заместитель директора Кадастровой палаты по Алтайскому краю Дмитрий Николаиди.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Благодаря услуге выездного обслуживания у владельца недвижимости существует возможность получать популярные государственные услуги в максимально комфортных условия и </w:t>
      </w:r>
      <w:r>
        <w:rPr>
          <w:sz w:val="26"/>
          <w:szCs w:val="26"/>
        </w:rPr>
        <w:t>экономить драгоценное время.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Чтобы подать документы для проведения кадастрового учета и регистрации права собственности или получить сведения госреестра недвижимости, жителям края достаточно любым удобным способом обратиться в Кадастровую палату: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 телефону 8 (3852) 55-76-47;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непосредственно в офисе межрайонного отдела Кадастровой палаты по адресу: г. Барнаул, ул. Северо-Западная, д. 3А или через Whatsapp +7-961-994-6267;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направить сообщение на адрес электронной почты: dostavka@22.kadastr.ru.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Заявка будет рассмотрена в кратчайшие сроки, и специалисты учреждения свяжутся с заявителем для уточнения деталей. </w:t>
      </w:r>
    </w:p>
    <w:p>
      <w:pPr>
        <w:pStyle w:val="Normal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>
          <w:rStyle w:val="Style15"/>
          <w:i/>
          <w:iCs/>
          <w:color w:val="000000"/>
          <w:sz w:val="22"/>
          <w:szCs w:val="22"/>
          <w:u w:val="none"/>
          <w:shd w:fill="FFFFFF" w:val="clear"/>
        </w:rPr>
        <w:t>Материал подготовлен филиалом ФГБУ «ФКП Росреестра» по Алтайскому краю</w:t>
      </w:r>
    </w:p>
    <w:p>
      <w:pPr>
        <w:pStyle w:val="Normal"/>
        <w:jc w:val="both"/>
        <w:rPr/>
      </w:pPr>
      <w:r>
        <w:rPr>
          <w:rStyle w:val="Style15"/>
          <w:i/>
          <w:iCs/>
          <w:color w:val="000000"/>
          <w:sz w:val="22"/>
          <w:szCs w:val="22"/>
          <w:u w:val="none"/>
          <w:shd w:fill="FFFFFF" w:val="clear"/>
        </w:rPr>
        <w:t>Контакты для СМИ: тел. 8 (3852) 55-76-59, доб. 7091, 7092,</w:t>
      </w:r>
    </w:p>
    <w:p>
      <w:pPr>
        <w:pStyle w:val="Normal"/>
        <w:jc w:val="both"/>
        <w:rPr/>
      </w:pPr>
      <w:r>
        <w:rPr>
          <w:rStyle w:val="Style15"/>
          <w:i/>
          <w:iCs/>
          <w:color w:val="000000"/>
          <w:sz w:val="22"/>
          <w:szCs w:val="22"/>
          <w:u w:val="none"/>
          <w:shd w:fill="FFFFFF" w:val="clear"/>
        </w:rPr>
        <w:t xml:space="preserve">адрес электронной почты: </w:t>
      </w:r>
      <w:hyperlink r:id="rId3">
        <w:r>
          <w:rPr>
            <w:i/>
            <w:iCs/>
            <w:color w:val="000000"/>
            <w:sz w:val="22"/>
            <w:szCs w:val="22"/>
            <w:shd w:fill="FFFFFF" w:val="clear"/>
            <w:lang w:val="en-US"/>
          </w:rPr>
          <w:t>press</w:t>
        </w:r>
        <w:r>
          <w:rPr>
            <w:i/>
            <w:iCs/>
            <w:color w:val="000000"/>
            <w:sz w:val="22"/>
            <w:szCs w:val="22"/>
            <w:shd w:fill="FFFFFF" w:val="clear"/>
          </w:rPr>
          <w:t>@22.</w:t>
        </w:r>
        <w:r>
          <w:rPr>
            <w:i/>
            <w:iCs/>
            <w:color w:val="000000"/>
            <w:sz w:val="22"/>
            <w:szCs w:val="22"/>
            <w:shd w:fill="FFFFFF" w:val="clear"/>
            <w:lang w:val="en-US"/>
          </w:rPr>
          <w:t>kadastr</w:t>
        </w:r>
        <w:r>
          <w:rPr>
            <w:i/>
            <w:iCs/>
            <w:color w:val="000000"/>
            <w:sz w:val="22"/>
            <w:szCs w:val="22"/>
            <w:shd w:fill="FFFFFF" w:val="clear"/>
          </w:rPr>
          <w:t>.</w:t>
        </w:r>
        <w:r>
          <w:rPr>
            <w:i/>
            <w:iCs/>
            <w:color w:val="000000"/>
            <w:sz w:val="22"/>
            <w:szCs w:val="22"/>
            <w:shd w:fill="FFFFFF" w:val="clear"/>
            <w:lang w:val="en-US"/>
          </w:rPr>
          <w:t>ru</w:t>
        </w:r>
      </w:hyperlink>
      <w:r>
        <w:rPr>
          <w:rStyle w:val="Style15"/>
          <w:i/>
          <w:iCs/>
          <w:color w:val="000000"/>
          <w:sz w:val="22"/>
          <w:szCs w:val="22"/>
          <w:u w:val="none"/>
          <w:shd w:fill="FFFFFF" w:val="clear"/>
        </w:rPr>
        <w:t>.</w:t>
      </w:r>
    </w:p>
    <w:p>
      <w:pPr>
        <w:pStyle w:val="Normal"/>
        <w:widowControl w:val="false"/>
        <w:jc w:val="both"/>
        <w:rPr/>
      </w:pPr>
      <w:r>
        <w:rPr>
          <w:rStyle w:val="Style15"/>
          <w:i/>
          <w:iCs/>
          <w:color w:val="000000"/>
          <w:kern w:val="2"/>
          <w:sz w:val="22"/>
          <w:szCs w:val="22"/>
          <w:u w:val="none"/>
          <w:shd w:fill="FFFFFF" w:val="clear"/>
        </w:rPr>
        <w:t>Официальная страница в соц. сети: https://vk.com/kadastr22</w:t>
      </w:r>
    </w:p>
    <w:p>
      <w:pPr>
        <w:pStyle w:val="Normal"/>
        <w:shd w:val="clear" w:color="auto" w:fill="FFFFFF"/>
        <w:jc w:val="both"/>
        <w:rPr/>
      </w:pPr>
      <w:r>
        <w:rPr>
          <w:rStyle w:val="Style15"/>
          <w:i/>
          <w:iCs/>
          <w:color w:val="000000"/>
          <w:sz w:val="22"/>
          <w:szCs w:val="22"/>
          <w:u w:val="none"/>
          <w:shd w:fill="FFFFFF" w:val="clear"/>
        </w:rPr>
        <w:t xml:space="preserve">адрес электронной почты: </w:t>
      </w:r>
      <w:r>
        <w:rPr>
          <w:rStyle w:val="Style15"/>
          <w:i/>
          <w:iCs/>
          <w:color w:val="000000"/>
          <w:sz w:val="22"/>
          <w:szCs w:val="22"/>
          <w:u w:val="none"/>
          <w:shd w:fill="FFFFFF" w:val="clear"/>
          <w:lang w:val="en-US"/>
        </w:rPr>
        <w:t>press</w:t>
      </w:r>
      <w:r>
        <w:rPr>
          <w:rStyle w:val="Style15"/>
          <w:i/>
          <w:iCs/>
          <w:color w:val="000000"/>
          <w:sz w:val="22"/>
          <w:szCs w:val="22"/>
          <w:u w:val="none"/>
          <w:shd w:fill="FFFFFF" w:val="clear"/>
        </w:rPr>
        <w:t>@22.</w:t>
      </w:r>
      <w:r>
        <w:rPr>
          <w:rStyle w:val="Style15"/>
          <w:i/>
          <w:iCs/>
          <w:color w:val="000000"/>
          <w:sz w:val="22"/>
          <w:szCs w:val="22"/>
          <w:u w:val="none"/>
          <w:shd w:fill="FFFFFF" w:val="clear"/>
          <w:lang w:val="en-US"/>
        </w:rPr>
        <w:t>kadastr</w:t>
      </w:r>
      <w:r>
        <w:rPr>
          <w:rStyle w:val="Style15"/>
          <w:i/>
          <w:iCs/>
          <w:color w:val="000000"/>
          <w:sz w:val="22"/>
          <w:szCs w:val="22"/>
          <w:u w:val="none"/>
          <w:shd w:fill="FFFFFF" w:val="clear"/>
        </w:rPr>
        <w:t>.</w:t>
      </w:r>
      <w:r>
        <w:rPr>
          <w:rStyle w:val="Style15"/>
          <w:i/>
          <w:iCs/>
          <w:color w:val="000000"/>
          <w:sz w:val="22"/>
          <w:szCs w:val="22"/>
          <w:u w:val="none"/>
          <w:shd w:fill="FFFFFF" w:val="clear"/>
          <w:lang w:val="en-US"/>
        </w:rPr>
        <w:t>ru</w:t>
      </w:r>
    </w:p>
    <w:sectPr>
      <w:type w:val="nextPage"/>
      <w:pgSz w:w="11906" w:h="16838"/>
      <w:pgMar w:left="1701" w:right="742" w:header="0" w:top="450" w:footer="0" w:bottom="47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egoe U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795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9e7956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Интернет-ссылка"/>
    <w:rPr>
      <w:color w:val="000080"/>
      <w:u w:val="single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9e7956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0" w:after="96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ress@22.kadastr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LibreOffice/7.1.1.2$Windows_X86_64 LibreOffice_project/fe0b08f4af1bacafe4c7ecc87ce55bb426164676</Application>
  <AppVersion>15.0000</AppVersion>
  <Pages>1</Pages>
  <Words>357</Words>
  <Characters>2469</Characters>
  <CharactersWithSpaces>2814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2022-10-24T02:13:00Z</dcterms:created>
  <dc:creator>Слободянник Юлия Олеговна</dc:creator>
  <dc:description/>
  <dc:language>ru-RU</dc:language>
  <cp:lastModifiedBy/>
  <cp:lastPrinted>2022-10-24T02:13:00Z</cp:lastPrinted>
  <dcterms:modified xsi:type="dcterms:W3CDTF">2022-10-25T08:18:22Z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